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99" w:rsidRPr="00942699" w:rsidRDefault="00942699" w:rsidP="0094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4"/>
        </w:rPr>
      </w:pPr>
      <w:r w:rsidRPr="00942699">
        <w:rPr>
          <w:rFonts w:ascii="Arial" w:hAnsi="Arial" w:cs="Arial"/>
          <w:b/>
          <w:szCs w:val="24"/>
        </w:rPr>
        <w:t xml:space="preserve">Food Chemistry </w:t>
      </w:r>
      <w:r w:rsidR="0010599A">
        <w:rPr>
          <w:rFonts w:ascii="Arial" w:hAnsi="Arial" w:cs="Arial"/>
          <w:b/>
          <w:szCs w:val="24"/>
        </w:rPr>
        <w:t>2015;</w:t>
      </w:r>
      <w:r w:rsidR="0010599A" w:rsidRPr="00942699">
        <w:rPr>
          <w:rFonts w:ascii="Arial" w:hAnsi="Arial" w:cs="Arial"/>
          <w:b/>
          <w:szCs w:val="24"/>
        </w:rPr>
        <w:t xml:space="preserve"> </w:t>
      </w:r>
      <w:r w:rsidRPr="00942699">
        <w:rPr>
          <w:rFonts w:ascii="Arial" w:hAnsi="Arial" w:cs="Arial"/>
          <w:b/>
          <w:szCs w:val="24"/>
        </w:rPr>
        <w:t>170</w:t>
      </w:r>
      <w:r w:rsidR="0010599A">
        <w:rPr>
          <w:rFonts w:ascii="Arial" w:hAnsi="Arial" w:cs="Arial"/>
          <w:b/>
          <w:szCs w:val="24"/>
        </w:rPr>
        <w:t>:</w:t>
      </w:r>
      <w:r w:rsidRPr="00942699">
        <w:rPr>
          <w:rFonts w:ascii="Arial" w:hAnsi="Arial" w:cs="Arial"/>
          <w:b/>
          <w:szCs w:val="24"/>
        </w:rPr>
        <w:t xml:space="preserve"> 154–159</w:t>
      </w:r>
    </w:p>
    <w:p w:rsidR="00942699" w:rsidRPr="00942699" w:rsidRDefault="00942699" w:rsidP="0094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7"/>
          <w:szCs w:val="27"/>
        </w:rPr>
      </w:pPr>
    </w:p>
    <w:p w:rsidR="00942699" w:rsidRPr="00942699" w:rsidRDefault="00942699" w:rsidP="0094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942699">
        <w:rPr>
          <w:rFonts w:ascii="Arial" w:hAnsi="Arial" w:cs="Arial"/>
          <w:b/>
          <w:color w:val="000000"/>
          <w:sz w:val="24"/>
          <w:szCs w:val="24"/>
        </w:rPr>
        <w:t>Preparative isolation of oleocanthal, tyrosol, and hydroxytyrosol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42699">
        <w:rPr>
          <w:rFonts w:ascii="Arial" w:hAnsi="Arial" w:cs="Arial"/>
          <w:b/>
          <w:color w:val="000000"/>
          <w:sz w:val="24"/>
          <w:szCs w:val="24"/>
        </w:rPr>
        <w:t>from olive oil by HPCCC</w:t>
      </w:r>
    </w:p>
    <w:p w:rsidR="00942699" w:rsidRPr="00942699" w:rsidRDefault="00942699" w:rsidP="0094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8"/>
        </w:rPr>
      </w:pPr>
    </w:p>
    <w:p w:rsidR="00942699" w:rsidRPr="00942699" w:rsidRDefault="00942699" w:rsidP="0094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2699">
        <w:rPr>
          <w:rFonts w:ascii="Arial" w:hAnsi="Arial" w:cs="Arial"/>
          <w:color w:val="000000"/>
          <w:sz w:val="20"/>
          <w:szCs w:val="20"/>
        </w:rPr>
        <w:t>Hamid-Reza Adhami</w:t>
      </w:r>
      <w:r w:rsidRPr="00942699">
        <w:rPr>
          <w:rFonts w:ascii="Arial" w:hAnsi="Arial" w:cs="Arial"/>
          <w:color w:val="000000"/>
          <w:sz w:val="20"/>
          <w:szCs w:val="20"/>
          <w:vertAlign w:val="superscript"/>
        </w:rPr>
        <w:t>a</w:t>
      </w:r>
      <w:r w:rsidRPr="00942699">
        <w:rPr>
          <w:rFonts w:ascii="Arial" w:hAnsi="Arial" w:cs="Arial"/>
          <w:color w:val="000000"/>
          <w:sz w:val="20"/>
          <w:szCs w:val="20"/>
        </w:rPr>
        <w:t>*, Martin Zehl</w:t>
      </w:r>
      <w:r w:rsidRPr="00942699">
        <w:rPr>
          <w:rFonts w:ascii="Arial" w:hAnsi="Arial" w:cs="Arial"/>
          <w:color w:val="000000"/>
          <w:sz w:val="20"/>
          <w:szCs w:val="20"/>
          <w:vertAlign w:val="superscript"/>
        </w:rPr>
        <w:t>a</w:t>
      </w:r>
      <w:r w:rsidRPr="00942699">
        <w:rPr>
          <w:rFonts w:ascii="Arial" w:hAnsi="Arial" w:cs="Arial"/>
          <w:color w:val="000000"/>
          <w:sz w:val="20"/>
          <w:szCs w:val="20"/>
        </w:rPr>
        <w:t>, Christina Dangl</w:t>
      </w:r>
      <w:r w:rsidRPr="00942699">
        <w:rPr>
          <w:rFonts w:ascii="Arial" w:hAnsi="Arial" w:cs="Arial"/>
          <w:color w:val="000000"/>
          <w:sz w:val="20"/>
          <w:szCs w:val="20"/>
          <w:vertAlign w:val="superscript"/>
        </w:rPr>
        <w:t>a</w:t>
      </w:r>
      <w:r w:rsidRPr="00942699">
        <w:rPr>
          <w:rFonts w:ascii="Arial" w:hAnsi="Arial" w:cs="Arial"/>
          <w:color w:val="000000"/>
          <w:sz w:val="20"/>
          <w:szCs w:val="20"/>
        </w:rPr>
        <w:t>, Dominic Dorfmeister</w:t>
      </w:r>
      <w:r w:rsidRPr="00942699">
        <w:rPr>
          <w:rFonts w:ascii="Arial" w:hAnsi="Arial" w:cs="Arial"/>
          <w:color w:val="000000"/>
          <w:sz w:val="20"/>
          <w:szCs w:val="20"/>
          <w:vertAlign w:val="superscript"/>
        </w:rPr>
        <w:t>a</w:t>
      </w:r>
      <w:r w:rsidRPr="00942699">
        <w:rPr>
          <w:rFonts w:ascii="Arial" w:hAnsi="Arial" w:cs="Arial"/>
          <w:color w:val="000000"/>
          <w:sz w:val="20"/>
          <w:szCs w:val="20"/>
        </w:rPr>
        <w:t>, Marco Stadler</w:t>
      </w:r>
      <w:r w:rsidRPr="00942699">
        <w:rPr>
          <w:rFonts w:ascii="Arial" w:hAnsi="Arial" w:cs="Arial"/>
          <w:color w:val="000000"/>
          <w:sz w:val="20"/>
          <w:szCs w:val="20"/>
          <w:vertAlign w:val="superscript"/>
        </w:rPr>
        <w:t>a</w:t>
      </w:r>
      <w:r w:rsidRPr="00942699">
        <w:rPr>
          <w:rFonts w:ascii="Arial" w:hAnsi="Arial" w:cs="Arial"/>
          <w:color w:val="000000"/>
          <w:sz w:val="20"/>
          <w:szCs w:val="20"/>
        </w:rPr>
        <w:t>,</w:t>
      </w:r>
    </w:p>
    <w:p w:rsidR="00942699" w:rsidRPr="00942699" w:rsidRDefault="00942699" w:rsidP="0094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942699">
        <w:rPr>
          <w:rFonts w:ascii="Arial" w:hAnsi="Arial" w:cs="Arial"/>
          <w:color w:val="000000"/>
          <w:sz w:val="20"/>
          <w:szCs w:val="20"/>
        </w:rPr>
        <w:t>Ernst Urban</w:t>
      </w:r>
      <w:r w:rsidRPr="00942699">
        <w:rPr>
          <w:rFonts w:ascii="Arial" w:hAnsi="Arial" w:cs="Arial"/>
          <w:color w:val="000000"/>
          <w:sz w:val="20"/>
          <w:szCs w:val="20"/>
          <w:vertAlign w:val="superscript"/>
        </w:rPr>
        <w:t>b</w:t>
      </w:r>
      <w:r w:rsidRPr="00942699">
        <w:rPr>
          <w:rFonts w:ascii="Arial" w:hAnsi="Arial" w:cs="Arial"/>
          <w:color w:val="000000"/>
          <w:sz w:val="20"/>
          <w:szCs w:val="20"/>
        </w:rPr>
        <w:t>, Peter Hewitson</w:t>
      </w:r>
      <w:r w:rsidRPr="00942699">
        <w:rPr>
          <w:rFonts w:ascii="Arial" w:hAnsi="Arial" w:cs="Arial"/>
          <w:color w:val="000000"/>
          <w:sz w:val="20"/>
          <w:szCs w:val="20"/>
          <w:vertAlign w:val="superscript"/>
        </w:rPr>
        <w:t>c</w:t>
      </w:r>
      <w:r w:rsidRPr="00942699">
        <w:rPr>
          <w:rFonts w:ascii="Arial" w:hAnsi="Arial" w:cs="Arial"/>
          <w:color w:val="000000"/>
          <w:sz w:val="20"/>
          <w:szCs w:val="20"/>
        </w:rPr>
        <w:t>, Svetlana Ignatova</w:t>
      </w:r>
      <w:r w:rsidRPr="00942699">
        <w:rPr>
          <w:rFonts w:ascii="Arial" w:hAnsi="Arial" w:cs="Arial"/>
          <w:color w:val="000000"/>
          <w:sz w:val="20"/>
          <w:szCs w:val="20"/>
          <w:vertAlign w:val="superscript"/>
        </w:rPr>
        <w:t>c</w:t>
      </w:r>
      <w:r w:rsidRPr="00942699">
        <w:rPr>
          <w:rFonts w:ascii="Arial" w:hAnsi="Arial" w:cs="Arial"/>
          <w:color w:val="000000"/>
          <w:sz w:val="20"/>
          <w:szCs w:val="20"/>
        </w:rPr>
        <w:t>, Liselotte Krenn</w:t>
      </w:r>
      <w:r w:rsidRPr="00942699">
        <w:rPr>
          <w:rFonts w:ascii="Arial" w:hAnsi="Arial" w:cs="Arial"/>
          <w:color w:val="000000"/>
          <w:sz w:val="20"/>
          <w:szCs w:val="20"/>
          <w:vertAlign w:val="superscript"/>
        </w:rPr>
        <w:t>a</w:t>
      </w:r>
    </w:p>
    <w:p w:rsidR="00942699" w:rsidRPr="00942699" w:rsidRDefault="00942699" w:rsidP="0094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AE"/>
        </w:rPr>
      </w:pPr>
    </w:p>
    <w:p w:rsidR="00942699" w:rsidRPr="00942699" w:rsidRDefault="00942699" w:rsidP="0094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942699">
        <w:rPr>
          <w:rFonts w:ascii="Arial" w:hAnsi="Arial" w:cs="Arial"/>
          <w:color w:val="000000"/>
          <w:sz w:val="16"/>
          <w:szCs w:val="16"/>
          <w:vertAlign w:val="superscript"/>
        </w:rPr>
        <w:t>a</w:t>
      </w:r>
      <w:r w:rsidRPr="00942699">
        <w:rPr>
          <w:rFonts w:ascii="Arial" w:hAnsi="Arial" w:cs="Arial"/>
          <w:color w:val="000000"/>
          <w:sz w:val="16"/>
          <w:szCs w:val="16"/>
        </w:rPr>
        <w:t xml:space="preserve"> Department of Pharmacognosy, University of Vienna, Vienna, Austria</w:t>
      </w:r>
    </w:p>
    <w:p w:rsidR="00942699" w:rsidRPr="00942699" w:rsidRDefault="00942699" w:rsidP="0094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942699">
        <w:rPr>
          <w:rFonts w:ascii="Arial" w:hAnsi="Arial" w:cs="Arial"/>
          <w:color w:val="000000"/>
          <w:sz w:val="16"/>
          <w:szCs w:val="16"/>
          <w:vertAlign w:val="superscript"/>
        </w:rPr>
        <w:t>b</w:t>
      </w:r>
      <w:r w:rsidRPr="00942699">
        <w:rPr>
          <w:rFonts w:ascii="Arial" w:hAnsi="Arial" w:cs="Arial"/>
          <w:color w:val="000000"/>
          <w:sz w:val="16"/>
          <w:szCs w:val="16"/>
        </w:rPr>
        <w:t xml:space="preserve"> Department of Medicinal Chemistry, University of Vienna, Vienna, Austria</w:t>
      </w:r>
    </w:p>
    <w:p w:rsidR="00942699" w:rsidRDefault="00942699" w:rsidP="00942699">
      <w:pPr>
        <w:rPr>
          <w:rFonts w:ascii="Arial" w:hAnsi="Arial" w:cs="Arial"/>
          <w:color w:val="000000"/>
          <w:sz w:val="16"/>
          <w:szCs w:val="16"/>
        </w:rPr>
      </w:pPr>
      <w:r w:rsidRPr="00942699">
        <w:rPr>
          <w:rFonts w:ascii="Arial" w:hAnsi="Arial" w:cs="Arial"/>
          <w:color w:val="000000"/>
          <w:sz w:val="16"/>
          <w:szCs w:val="16"/>
          <w:vertAlign w:val="superscript"/>
        </w:rPr>
        <w:t>c</w:t>
      </w:r>
      <w:r w:rsidRPr="00942699">
        <w:rPr>
          <w:rFonts w:ascii="Arial" w:hAnsi="Arial" w:cs="Arial"/>
          <w:color w:val="000000"/>
          <w:sz w:val="16"/>
          <w:szCs w:val="16"/>
        </w:rPr>
        <w:t xml:space="preserve"> Brunel Institute for Bioengineering, Brunel University, Uxbridge, UK</w:t>
      </w:r>
    </w:p>
    <w:p w:rsidR="00942699" w:rsidRPr="00942699" w:rsidRDefault="00A0796D" w:rsidP="009426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text should not exceed one page and give an overview over the content and the significance of the paper in the field.</w:t>
      </w:r>
      <w:r w:rsidR="00097FE5">
        <w:rPr>
          <w:rFonts w:ascii="Arial" w:hAnsi="Arial" w:cs="Arial"/>
          <w:color w:val="000000"/>
          <w:sz w:val="20"/>
          <w:szCs w:val="20"/>
        </w:rPr>
        <w:t xml:space="preserve"> It could be divided into an abstract which is more detailed than the published one and a chapter on the significance.</w:t>
      </w:r>
    </w:p>
    <w:p w:rsidR="00942699" w:rsidRPr="00942699" w:rsidRDefault="00942699" w:rsidP="00942699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942699" w:rsidRPr="009426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99"/>
    <w:rsid w:val="00097FE5"/>
    <w:rsid w:val="0010599A"/>
    <w:rsid w:val="002319C9"/>
    <w:rsid w:val="00942699"/>
    <w:rsid w:val="00A0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4</cp:revision>
  <dcterms:created xsi:type="dcterms:W3CDTF">2015-09-01T14:53:00Z</dcterms:created>
  <dcterms:modified xsi:type="dcterms:W3CDTF">2015-09-03T07:06:00Z</dcterms:modified>
</cp:coreProperties>
</file>